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4236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907E0D" w:rsidRDefault="00460688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B2786A">
              <w:rPr>
                <w:rFonts w:asciiTheme="majorHAnsi" w:eastAsiaTheme="majorEastAsia" w:hAnsiTheme="majorHAnsi" w:cstheme="majorBidi"/>
                <w:sz w:val="36"/>
                <w:szCs w:val="36"/>
              </w:rPr>
              <w:t>7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B2786A">
              <w:rPr>
                <w:rFonts w:asciiTheme="majorHAnsi" w:eastAsiaTheme="majorEastAsia" w:hAnsiTheme="majorHAnsi" w:cstheme="majorBidi"/>
                <w:sz w:val="36"/>
                <w:szCs w:val="36"/>
              </w:rPr>
              <w:t>Haziran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Default="00B2786A" w:rsidP="00B2786A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8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Ağustos</w:t>
            </w:r>
            <w:r w:rsidR="00460688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2017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2AD84D0B" wp14:editId="47106787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EF4E45" w:rsidRDefault="00B2786A" w:rsidP="00AD2065">
      <w:pPr>
        <w:rPr>
          <w:b/>
        </w:rPr>
      </w:pPr>
      <w:r>
        <w:rPr>
          <w:b/>
        </w:rPr>
        <w:t>Haziran</w:t>
      </w:r>
      <w:r w:rsidR="007E6746">
        <w:rPr>
          <w:b/>
        </w:rPr>
        <w:t xml:space="preserve"> </w:t>
      </w:r>
      <w:r w:rsidR="00460688">
        <w:rPr>
          <w:b/>
        </w:rPr>
        <w:t>2017</w:t>
      </w:r>
      <w:r w:rsidR="00EF4E45" w:rsidRPr="00EF4E45">
        <w:rPr>
          <w:b/>
        </w:rPr>
        <w:t xml:space="preserve"> </w:t>
      </w:r>
      <w:r w:rsidR="007B58E6">
        <w:rPr>
          <w:b/>
        </w:rPr>
        <w:t>Sanayi Üretim Endeksi’ne</w:t>
      </w:r>
      <w:r w:rsidR="00EF4E45" w:rsidRPr="00EF4E45">
        <w:rPr>
          <w:b/>
        </w:rPr>
        <w:t xml:space="preserve"> ilişkin veriler Türkiye İstat</w:t>
      </w:r>
      <w:r w:rsidR="007441EB">
        <w:rPr>
          <w:b/>
        </w:rPr>
        <w:t xml:space="preserve">istik Kurumu (TÜİK) tarafından </w:t>
      </w:r>
      <w:r>
        <w:rPr>
          <w:b/>
        </w:rPr>
        <w:t>8</w:t>
      </w:r>
      <w:r w:rsidR="00EF4E45" w:rsidRPr="00EF4E45">
        <w:rPr>
          <w:b/>
        </w:rPr>
        <w:t xml:space="preserve"> </w:t>
      </w:r>
      <w:r>
        <w:rPr>
          <w:b/>
        </w:rPr>
        <w:t>Ağustos</w:t>
      </w:r>
      <w:r w:rsidR="00FE2D1A">
        <w:rPr>
          <w:b/>
        </w:rPr>
        <w:t xml:space="preserve"> </w:t>
      </w:r>
      <w:r w:rsidR="00460688">
        <w:rPr>
          <w:b/>
        </w:rPr>
        <w:t>2017</w:t>
      </w:r>
      <w:r w:rsidR="00EF4E45" w:rsidRPr="00EF4E45">
        <w:rPr>
          <w:b/>
        </w:rPr>
        <w:t xml:space="preserve"> tarihinde yayımlandı.</w:t>
      </w:r>
    </w:p>
    <w:p w:rsidR="00DF5145" w:rsidRDefault="00EF4E45" w:rsidP="00EF4E45">
      <w:r>
        <w:t xml:space="preserve">TÜİK tarafından aylık yayımlanan </w:t>
      </w:r>
      <w:r w:rsidR="007B58E6" w:rsidRPr="007B58E6">
        <w:t>Sanayi Üretim Endeksi</w:t>
      </w:r>
      <w:r>
        <w:t>,</w:t>
      </w:r>
      <w:r w:rsidR="007B58E6">
        <w:t xml:space="preserve"> Türkiye’deki sanayi kuruluşlarının toplam üretiminin</w:t>
      </w:r>
      <w:r>
        <w:t xml:space="preserve"> zaman içindeki değişim</w:t>
      </w:r>
      <w:r w:rsidR="007B58E6">
        <w:t>i</w:t>
      </w:r>
      <w:r>
        <w:t xml:space="preserve"> hakkında bilgi vermektedir.</w:t>
      </w:r>
      <w:r w:rsidR="00522A6C" w:rsidRPr="00C04441">
        <w:rPr>
          <w:rStyle w:val="DipnotBavurusu"/>
        </w:rPr>
        <w:footnoteReference w:id="1"/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Aylara göre </w:t>
      </w:r>
      <w:r w:rsidR="00FD0F6A" w:rsidRPr="006D330B">
        <w:rPr>
          <w:rFonts w:eastAsia="Times New Roman" w:cs="Times New Roman"/>
          <w:b/>
          <w:bCs/>
          <w:kern w:val="36"/>
          <w:sz w:val="24"/>
          <w:szCs w:val="24"/>
        </w:rPr>
        <w:t>sanayi üretim endeksi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</w:p>
    <w:p w:rsidR="00FD0F6A" w:rsidRPr="006D330B" w:rsidRDefault="00FD0F6A" w:rsidP="0043515F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(mevsim ve takvim etkilerinden arındırılmış, 2010=100)</w:t>
      </w:r>
    </w:p>
    <w:p w:rsidR="00FD0F6A" w:rsidRDefault="00ED4544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>
        <w:rPr>
          <w:noProof/>
        </w:rPr>
        <w:drawing>
          <wp:inline distT="0" distB="0" distL="0" distR="0" wp14:anchorId="2A2FEB87" wp14:editId="3EE1648B">
            <wp:extent cx="5972810" cy="2225040"/>
            <wp:effectExtent l="0" t="0" r="27940" b="2286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44CC" w:rsidRPr="00FE2D1A" w:rsidRDefault="00D42512" w:rsidP="00C144CC">
      <w:pPr>
        <w:jc w:val="both"/>
      </w:pPr>
      <w:r>
        <w:t>Haziran</w:t>
      </w:r>
      <w:r w:rsidR="00574C38" w:rsidRPr="00C144CC">
        <w:t xml:space="preserve"> ayında Türkiye (TR) </w:t>
      </w:r>
      <w:r w:rsidR="00574C38" w:rsidRPr="00C04441">
        <w:t xml:space="preserve">Geneli </w:t>
      </w:r>
      <w:r w:rsidR="007B58E6" w:rsidRPr="00C04441">
        <w:t>Sanayi Üretim Endeksi</w:t>
      </w:r>
      <w:r w:rsidR="00574C38" w:rsidRPr="00C04441">
        <w:t xml:space="preserve"> </w:t>
      </w:r>
      <w:r>
        <w:rPr>
          <w:b/>
          <w:u w:val="single"/>
        </w:rPr>
        <w:t>bir önceki aya (Mayıs</w:t>
      </w:r>
      <w:r w:rsidR="0092656D">
        <w:rPr>
          <w:b/>
          <w:u w:val="single"/>
        </w:rPr>
        <w:t xml:space="preserve"> 2017</w:t>
      </w:r>
      <w:r w:rsidR="00574C38" w:rsidRPr="00FD0F6A">
        <w:rPr>
          <w:b/>
          <w:u w:val="single"/>
        </w:rPr>
        <w:t>) göre</w:t>
      </w:r>
      <w:r w:rsidR="00574C38" w:rsidRPr="00C04441">
        <w:t xml:space="preserve"> yüzde </w:t>
      </w:r>
      <w:r>
        <w:t>0,4</w:t>
      </w:r>
      <w:r w:rsidR="00FD0F6A">
        <w:t xml:space="preserve"> </w:t>
      </w:r>
      <w:r w:rsidR="00135340">
        <w:t>azalış</w:t>
      </w:r>
      <w:r w:rsidR="00FE2D1A">
        <w:t xml:space="preserve"> </w:t>
      </w:r>
      <w:r w:rsidR="00FD0F6A" w:rsidRPr="00FE2D1A">
        <w:t>göstermiştir</w:t>
      </w:r>
      <w:r w:rsidR="00574C38" w:rsidRPr="00FE2D1A">
        <w:t xml:space="preserve">. </w:t>
      </w:r>
      <w:r>
        <w:t>Haziran</w:t>
      </w:r>
      <w:r w:rsidR="0092656D">
        <w:t xml:space="preserve"> (2017</w:t>
      </w:r>
      <w:r w:rsidR="00574C38" w:rsidRPr="00FE2D1A">
        <w:t>) ayında</w:t>
      </w:r>
      <w:r w:rsidR="007E6746">
        <w:t xml:space="preserve">ki </w:t>
      </w:r>
      <w:r w:rsidR="00135340">
        <w:t>azalışta</w:t>
      </w:r>
      <w:r w:rsidR="00DB1F8E">
        <w:t xml:space="preserve"> </w:t>
      </w:r>
      <w:r w:rsidR="007E6746">
        <w:t xml:space="preserve">bir önceki </w:t>
      </w:r>
      <w:r w:rsidR="0092656D">
        <w:t>aya göre</w:t>
      </w:r>
      <w:r w:rsidR="00DB1F8E">
        <w:t xml:space="preserve"> </w:t>
      </w:r>
      <w:r>
        <w:t>elektrik, gaz, buhar ve iklimlendirme üretimi ve dağıtımındaki yüzde 0,6’lık ve imalat sanayindeki yüzde 0,5</w:t>
      </w:r>
      <w:r w:rsidR="00135340">
        <w:t>’li</w:t>
      </w:r>
      <w:r w:rsidR="007E6746">
        <w:t>k</w:t>
      </w:r>
      <w:r w:rsidR="00135340">
        <w:t xml:space="preserve"> azalışın</w:t>
      </w:r>
      <w:r w:rsidR="0092656D">
        <w:t xml:space="preserve"> etkili olduğu görülmektedir.</w:t>
      </w:r>
    </w:p>
    <w:p w:rsidR="007B58E6" w:rsidRPr="00FE2D1A" w:rsidRDefault="00C04441" w:rsidP="007B58E6">
      <w:pPr>
        <w:jc w:val="both"/>
      </w:pPr>
      <w:r w:rsidRPr="00FE2D1A">
        <w:t>Ana sanayi gruplarına</w:t>
      </w:r>
      <w:r w:rsidR="007B58E6" w:rsidRPr="00FE2D1A">
        <w:t xml:space="preserve"> bakıldığında </w:t>
      </w:r>
      <w:r w:rsidR="0003703C">
        <w:t xml:space="preserve">toplam sanayi endeksindeki </w:t>
      </w:r>
      <w:r w:rsidR="00135340">
        <w:t>azalışta</w:t>
      </w:r>
      <w:r w:rsidR="007B58E6" w:rsidRPr="00FE2D1A">
        <w:t xml:space="preserve"> </w:t>
      </w:r>
      <w:r w:rsidR="00D42512">
        <w:t>ara</w:t>
      </w:r>
      <w:r w:rsidRPr="00FE2D1A">
        <w:t xml:space="preserve"> </w:t>
      </w:r>
      <w:r w:rsidR="00521423">
        <w:t xml:space="preserve">malı, dayanıklı tüketim malı ve </w:t>
      </w:r>
      <w:r w:rsidR="00D42512">
        <w:t>dayanıksız tüketim malında</w:t>
      </w:r>
      <w:r w:rsidR="007B58E6" w:rsidRPr="00FE2D1A">
        <w:t xml:space="preserve"> </w:t>
      </w:r>
      <w:r w:rsidR="00736EAB">
        <w:t>yaşanan azalışın</w:t>
      </w:r>
      <w:r w:rsidR="007B58E6" w:rsidRPr="00FE2D1A">
        <w:t xml:space="preserve"> etkisi oldu</w:t>
      </w:r>
      <w:r w:rsidR="00FD0F6A" w:rsidRPr="00FE2D1A">
        <w:t>ğu görülmektedir</w:t>
      </w:r>
      <w:r w:rsidR="00521423">
        <w:t xml:space="preserve"> (sırasıyla yüzde </w:t>
      </w:r>
      <w:r w:rsidR="00D42512">
        <w:t>2,2, yüzde 1,9 ve yüzde 1,3’lü</w:t>
      </w:r>
      <w:r w:rsidR="0003703C">
        <w:t xml:space="preserve">k </w:t>
      </w:r>
      <w:r w:rsidR="00135340">
        <w:t>azalış</w:t>
      </w:r>
      <w:r w:rsidR="00521423">
        <w:t>lar</w:t>
      </w:r>
      <w:r w:rsidR="0003703C">
        <w:t>)</w:t>
      </w:r>
      <w:r w:rsidR="007B58E6" w:rsidRPr="00FE2D1A">
        <w:t>.</w:t>
      </w:r>
    </w:p>
    <w:p w:rsidR="00517288" w:rsidRDefault="00517288" w:rsidP="00517288">
      <w:pPr>
        <w:jc w:val="both"/>
      </w:pPr>
      <w:r w:rsidRPr="00FE2D1A">
        <w:t xml:space="preserve">İmalat sanayinin alt sektörlerinde geçen aya göre </w:t>
      </w:r>
      <w:r w:rsidR="00923FD3" w:rsidRPr="00FE2D1A">
        <w:t xml:space="preserve">en fazla </w:t>
      </w:r>
      <w:r w:rsidR="00A722F2">
        <w:t>azalış</w:t>
      </w:r>
      <w:r w:rsidR="00923FD3" w:rsidRPr="00FE2D1A">
        <w:t xml:space="preserve"> </w:t>
      </w:r>
      <w:r w:rsidR="00D42512" w:rsidRPr="00D26126">
        <w:t>tütün ürünleri imalatı</w:t>
      </w:r>
      <w:r w:rsidR="00D42512">
        <w:t>( yüzde 7,3</w:t>
      </w:r>
      <w:r w:rsidR="00802F1A">
        <w:t>) sektöründe gerçekleşti. Bu sektörü</w:t>
      </w:r>
      <w:r w:rsidR="00923FD3" w:rsidRPr="00FE2D1A">
        <w:t>,</w:t>
      </w:r>
      <w:r w:rsidR="00D42512">
        <w:t xml:space="preserve"> yüzde 5</w:t>
      </w:r>
      <w:r w:rsidR="00A722F2">
        <w:t>,6</w:t>
      </w:r>
      <w:r w:rsidR="00923FD3" w:rsidRPr="00FE2D1A">
        <w:t xml:space="preserve"> </w:t>
      </w:r>
      <w:r w:rsidR="00521423" w:rsidRPr="00521423">
        <w:t xml:space="preserve">ile </w:t>
      </w:r>
      <w:r w:rsidR="00D42512" w:rsidRPr="00D42512">
        <w:t xml:space="preserve">eczacılık ürünlerinin ve eczacılığa ilişkin malzemelerin imalatı </w:t>
      </w:r>
      <w:r w:rsidR="00521423">
        <w:t xml:space="preserve">ve yüzde </w:t>
      </w:r>
      <w:r w:rsidR="00D26126">
        <w:t>4</w:t>
      </w:r>
      <w:r w:rsidR="00A722F2">
        <w:t>,6</w:t>
      </w:r>
      <w:r w:rsidR="00521423" w:rsidRPr="00521423">
        <w:t xml:space="preserve"> ile </w:t>
      </w:r>
      <w:r w:rsidR="00D26126" w:rsidRPr="00D26126">
        <w:t xml:space="preserve">kok kömürü ve rafine edilmiş petrol ürünleri imalatı </w:t>
      </w:r>
      <w:r w:rsidR="00802F1A">
        <w:t xml:space="preserve">sektörleri </w:t>
      </w:r>
      <w:r w:rsidR="00521423" w:rsidRPr="00521423">
        <w:t xml:space="preserve">takip etti. </w:t>
      </w:r>
      <w:r w:rsidR="00521423">
        <w:t>E</w:t>
      </w:r>
      <w:r w:rsidR="00521423" w:rsidRPr="00521423">
        <w:t xml:space="preserve">n fazla </w:t>
      </w:r>
      <w:r w:rsidR="00A722F2">
        <w:t>artış</w:t>
      </w:r>
      <w:r w:rsidR="00521423" w:rsidRPr="00521423">
        <w:t xml:space="preserve"> </w:t>
      </w:r>
      <w:r w:rsidR="00521423">
        <w:t xml:space="preserve">ise yüzde </w:t>
      </w:r>
      <w:r w:rsidR="00D26126">
        <w:t>2</w:t>
      </w:r>
      <w:r w:rsidR="00A722F2">
        <w:t>9,</w:t>
      </w:r>
      <w:r w:rsidR="00D26126">
        <w:t>1</w:t>
      </w:r>
      <w:r w:rsidR="00521423" w:rsidRPr="00521423">
        <w:t xml:space="preserve"> ile </w:t>
      </w:r>
      <w:r w:rsidR="00D26126" w:rsidRPr="00D26126">
        <w:t>bilgisayarların, elektron</w:t>
      </w:r>
      <w:r w:rsidR="00D26126">
        <w:t xml:space="preserve">ik ve optik ürünlerin imalatı </w:t>
      </w:r>
      <w:r w:rsidR="00802F1A">
        <w:t>sektöründe</w:t>
      </w:r>
      <w:r w:rsidR="00521423" w:rsidRPr="00521423">
        <w:t xml:space="preserve"> gerçekleşti.</w:t>
      </w:r>
    </w:p>
    <w:p w:rsidR="00A722F2" w:rsidRDefault="00A722F2" w:rsidP="00160C8F">
      <w:pPr>
        <w:jc w:val="both"/>
      </w:pPr>
    </w:p>
    <w:p w:rsidR="00160C8F" w:rsidRPr="00756492" w:rsidRDefault="00160C8F" w:rsidP="00160C8F">
      <w:pPr>
        <w:jc w:val="both"/>
      </w:pPr>
      <w:r w:rsidRPr="00756492">
        <w:lastRenderedPageBreak/>
        <w:t xml:space="preserve">Endeks </w:t>
      </w:r>
      <w:r w:rsidRPr="00756492">
        <w:rPr>
          <w:b/>
          <w:u w:val="single"/>
        </w:rPr>
        <w:t>bir önceki yılın aynı ayına göre</w:t>
      </w:r>
      <w:r w:rsidRPr="00756492">
        <w:t xml:space="preserve"> yüzde </w:t>
      </w:r>
      <w:r w:rsidR="006E77D7">
        <w:t>3,4</w:t>
      </w:r>
      <w:r w:rsidRPr="00756492">
        <w:t xml:space="preserve"> oranında </w:t>
      </w:r>
      <w:r w:rsidR="00756492">
        <w:t xml:space="preserve">artış </w:t>
      </w:r>
      <w:r w:rsidRPr="00756492">
        <w:t xml:space="preserve">göstermiştir. </w:t>
      </w:r>
      <w:r w:rsidR="006E77D7">
        <w:t>Haziran</w:t>
      </w:r>
      <w:r w:rsidR="009D3086">
        <w:t xml:space="preserve"> (2017</w:t>
      </w:r>
      <w:r w:rsidRPr="00756492">
        <w:t xml:space="preserve">) ayında önceki yıla göre ana sanayi </w:t>
      </w:r>
      <w:r w:rsidR="00C04441" w:rsidRPr="00756492">
        <w:t>sektörleri</w:t>
      </w:r>
      <w:r w:rsidRPr="00756492">
        <w:t xml:space="preserve"> itibariyle en yüksek artış yüzde </w:t>
      </w:r>
      <w:r w:rsidR="006E77D7">
        <w:t>3,8 imalat sanayi sektöründe</w:t>
      </w:r>
      <w:r w:rsidR="00062D7C">
        <w:t xml:space="preserve"> </w:t>
      </w:r>
      <w:r w:rsidRPr="00756492">
        <w:t xml:space="preserve">yaşanırken, bunu yüzde </w:t>
      </w:r>
      <w:r w:rsidR="006E77D7">
        <w:t>2</w:t>
      </w:r>
      <w:r w:rsidR="00062D7C">
        <w:t>,5</w:t>
      </w:r>
      <w:r w:rsidR="00D72BD4">
        <w:t>’lik</w:t>
      </w:r>
      <w:r w:rsidRPr="00756492">
        <w:t xml:space="preserve"> artışla </w:t>
      </w:r>
      <w:r w:rsidR="006E77D7" w:rsidRPr="00756492">
        <w:t>elektrik, gaz, buhar ve iklimlendirme üretimi ve dağıtımı</w:t>
      </w:r>
      <w:r w:rsidR="006E77D7">
        <w:t xml:space="preserve"> sektörü</w:t>
      </w:r>
      <w:r w:rsidR="009D3086">
        <w:t xml:space="preserve"> takip etti.</w:t>
      </w:r>
      <w:r w:rsidR="006E77D7">
        <w:t xml:space="preserve"> Madencilik ve </w:t>
      </w:r>
      <w:proofErr w:type="spellStart"/>
      <w:r w:rsidR="006E77D7">
        <w:t>taşocakçılığı</w:t>
      </w:r>
      <w:proofErr w:type="spellEnd"/>
      <w:r w:rsidR="006E77D7">
        <w:t xml:space="preserve"> sektöründe ise yüzde 0,5’lik azalış yaşandı.</w:t>
      </w:r>
    </w:p>
    <w:p w:rsidR="00160C8F" w:rsidRPr="004D5C8C" w:rsidRDefault="00C04441" w:rsidP="00160C8F">
      <w:pPr>
        <w:jc w:val="both"/>
      </w:pPr>
      <w:r w:rsidRPr="004D5C8C">
        <w:t>Ana sanayi gruplarına</w:t>
      </w:r>
      <w:r w:rsidR="00160C8F" w:rsidRPr="004D5C8C">
        <w:t xml:space="preserve"> bakıldığında</w:t>
      </w:r>
      <w:r w:rsidR="00D72BD4">
        <w:t>,</w:t>
      </w:r>
      <w:r w:rsidRPr="004D5C8C">
        <w:t xml:space="preserve"> </w:t>
      </w:r>
      <w:r w:rsidR="00062D7C">
        <w:t xml:space="preserve">dayanıklı </w:t>
      </w:r>
      <w:r w:rsidR="00EF621F">
        <w:t>sermaye</w:t>
      </w:r>
      <w:r w:rsidR="00062D7C">
        <w:t xml:space="preserve"> malı imalatında yüzde </w:t>
      </w:r>
      <w:r w:rsidR="00EF621F">
        <w:t>11,4’lük</w:t>
      </w:r>
      <w:r w:rsidR="009D3086">
        <w:t xml:space="preserve">, </w:t>
      </w:r>
      <w:r w:rsidR="00EF621F">
        <w:t>enerji imalatında yüzde 2</w:t>
      </w:r>
      <w:r w:rsidR="00062D7C">
        <w:t>,9</w:t>
      </w:r>
      <w:r w:rsidR="009D3086">
        <w:t>’</w:t>
      </w:r>
      <w:r w:rsidR="00062D7C">
        <w:t>lu</w:t>
      </w:r>
      <w:r w:rsidR="0028186A">
        <w:t xml:space="preserve">k, </w:t>
      </w:r>
      <w:r w:rsidR="00EF621F">
        <w:t>dayanıklı tüketim malı</w:t>
      </w:r>
      <w:r w:rsidR="0028186A">
        <w:t xml:space="preserve"> imalatında</w:t>
      </w:r>
      <w:r w:rsidR="009D3086">
        <w:t xml:space="preserve"> yüzde </w:t>
      </w:r>
      <w:r w:rsidR="00EF621F">
        <w:t>2,6’lı</w:t>
      </w:r>
      <w:r w:rsidR="00062D7C">
        <w:t>k</w:t>
      </w:r>
      <w:r w:rsidR="00EF621F">
        <w:t>, ara</w:t>
      </w:r>
      <w:r w:rsidR="009D3086">
        <w:t xml:space="preserve"> mal</w:t>
      </w:r>
      <w:r w:rsidR="00EF621F">
        <w:t>ı imala</w:t>
      </w:r>
      <w:r w:rsidR="00B86368">
        <w:t>tında yüzde 1,2</w:t>
      </w:r>
      <w:bookmarkStart w:id="0" w:name="_GoBack"/>
      <w:bookmarkEnd w:id="0"/>
      <w:r w:rsidR="009D3086">
        <w:t>’lik</w:t>
      </w:r>
      <w:r w:rsidR="00D72BD4">
        <w:t xml:space="preserve"> </w:t>
      </w:r>
      <w:r w:rsidR="00EF621F">
        <w:t xml:space="preserve">ve dayanıksız tüketim malı imalatında </w:t>
      </w:r>
      <w:r w:rsidR="00062D7C">
        <w:t>yüzde 0,7</w:t>
      </w:r>
      <w:r w:rsidR="009D3086">
        <w:t xml:space="preserve">’lik </w:t>
      </w:r>
      <w:r w:rsidR="00EF621F">
        <w:t>artış</w:t>
      </w:r>
      <w:r w:rsidR="00D72BD4">
        <w:t xml:space="preserve"> yaşandığı görülmektedir.</w:t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2: </w:t>
      </w:r>
      <w:r w:rsidR="00FD0F6A"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Yıllara göre </w:t>
      </w:r>
      <w:r w:rsidR="00D42512">
        <w:rPr>
          <w:rFonts w:eastAsia="Times New Roman" w:cs="Times New Roman"/>
          <w:b/>
          <w:bCs/>
          <w:kern w:val="36"/>
          <w:sz w:val="24"/>
          <w:szCs w:val="24"/>
        </w:rPr>
        <w:t>Haziran</w:t>
      </w:r>
      <w:r w:rsidR="00FD0F6A"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 ayları itibariyle sanayi üretim endeksi </w:t>
      </w:r>
    </w:p>
    <w:p w:rsidR="00ED46EA" w:rsidRPr="004D5C8C" w:rsidRDefault="00FD0F6A" w:rsidP="00CF56CB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>(takvim etkisinden arındırılmış, 2010=100)</w:t>
      </w:r>
    </w:p>
    <w:p w:rsidR="00FD0F6A" w:rsidRPr="00CF56CB" w:rsidRDefault="00ED4544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  <w:r>
        <w:rPr>
          <w:noProof/>
        </w:rPr>
        <w:drawing>
          <wp:inline distT="0" distB="0" distL="0" distR="0" wp14:anchorId="4767C058" wp14:editId="3797B99E">
            <wp:extent cx="5343525" cy="2743200"/>
            <wp:effectExtent l="0" t="0" r="9525" b="1905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10"/>
        <w:gridCol w:w="2153"/>
        <w:gridCol w:w="2067"/>
      </w:tblGrid>
      <w:tr w:rsidR="00160C8F" w:rsidRPr="004D5C8C" w:rsidTr="00DB1389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D72BD4">
            <w:pPr>
              <w:jc w:val="both"/>
            </w:pPr>
            <w:r w:rsidRPr="004D5C8C">
              <w:rPr>
                <w:b/>
              </w:rPr>
              <w:t xml:space="preserve">Tablo 1: Sanayi Üretim Endeksi Büyüme Oranları,  </w:t>
            </w:r>
            <w:r w:rsidR="00685E8C">
              <w:rPr>
                <w:b/>
              </w:rPr>
              <w:t>Haziran</w:t>
            </w:r>
            <w:r w:rsidR="00ED46EA">
              <w:rPr>
                <w:b/>
              </w:rPr>
              <w:t xml:space="preserve"> 2017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Aya Göre</w:t>
            </w:r>
            <w:r w:rsidR="00923FD3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Yıla Göre</w:t>
            </w:r>
            <w:r w:rsidR="00923FD3" w:rsidRPr="004D5C8C">
              <w:t xml:space="preserve"> (%)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Ara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685E8C" w:rsidP="00D42512">
            <w:pPr>
              <w:jc w:val="center"/>
            </w:pPr>
            <w:r>
              <w:t>-2,2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685E8C" w:rsidP="00D42512">
            <w:pPr>
              <w:jc w:val="center"/>
            </w:pPr>
            <w:r>
              <w:t>1,2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Dayanıklı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685E8C" w:rsidP="00D42512">
            <w:pPr>
              <w:jc w:val="center"/>
            </w:pPr>
            <w:r>
              <w:t>-1,9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685E8C" w:rsidP="00D42512">
            <w:pPr>
              <w:jc w:val="center"/>
            </w:pPr>
            <w:r>
              <w:t>2,6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Dayanıksız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685E8C" w:rsidP="00D42512">
            <w:pPr>
              <w:jc w:val="center"/>
            </w:pPr>
            <w:r>
              <w:t>-1,3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685E8C" w:rsidP="00D42512">
            <w:pPr>
              <w:jc w:val="center"/>
            </w:pPr>
            <w:r>
              <w:t>0,7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Enerji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685E8C" w:rsidP="00D42512">
            <w:pPr>
              <w:jc w:val="center"/>
            </w:pPr>
            <w:r>
              <w:t>0,1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D42512" w:rsidP="00D42512">
            <w:pPr>
              <w:jc w:val="center"/>
            </w:pPr>
            <w:r>
              <w:t>2,9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Sermaye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685E8C" w:rsidP="00D42512">
            <w:pPr>
              <w:jc w:val="center"/>
            </w:pPr>
            <w:r>
              <w:t>3,8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D42512" w:rsidP="00D42512">
            <w:pPr>
              <w:jc w:val="center"/>
            </w:pPr>
            <w:r>
              <w:t>11,4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685E8C" w:rsidP="00D42512">
            <w:pPr>
              <w:jc w:val="center"/>
              <w:rPr>
                <w:b/>
              </w:rPr>
            </w:pPr>
            <w:r>
              <w:rPr>
                <w:b/>
              </w:rPr>
              <w:t>-0,4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D42512" w:rsidP="00D42512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</w:tr>
      <w:tr w:rsidR="0043515F" w:rsidRPr="004D5C8C" w:rsidTr="0043515F">
        <w:trPr>
          <w:trHeight w:val="264"/>
        </w:trPr>
        <w:tc>
          <w:tcPr>
            <w:tcW w:w="4110" w:type="dxa"/>
            <w:shd w:val="clear" w:color="auto" w:fill="7F7F7F" w:themeFill="text1" w:themeFillTint="80"/>
            <w:noWrap/>
            <w:hideMark/>
          </w:tcPr>
          <w:p w:rsidR="0043515F" w:rsidRPr="004D5C8C" w:rsidRDefault="0043515F" w:rsidP="004D5C8C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7F7F7F" w:themeFill="text1" w:themeFillTint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  <w:tc>
          <w:tcPr>
            <w:tcW w:w="2067" w:type="dxa"/>
            <w:shd w:val="clear" w:color="auto" w:fill="7F7F7F" w:themeFill="text1" w:themeFillTint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</w:tr>
      <w:tr w:rsidR="00160C8F" w:rsidRPr="004D5C8C" w:rsidTr="003F2715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D72BD4">
            <w:pPr>
              <w:jc w:val="both"/>
            </w:pPr>
            <w:r w:rsidRPr="004D5C8C">
              <w:rPr>
                <w:b/>
              </w:rPr>
              <w:t xml:space="preserve">Tablo 2: Sanayi Üretim Endeksi </w:t>
            </w:r>
            <w:proofErr w:type="spellStart"/>
            <w:r w:rsidRPr="004D5C8C">
              <w:rPr>
                <w:b/>
              </w:rPr>
              <w:t>Sektörel</w:t>
            </w:r>
            <w:proofErr w:type="spellEnd"/>
            <w:r w:rsidRPr="004D5C8C">
              <w:rPr>
                <w:b/>
              </w:rPr>
              <w:t xml:space="preserve"> Büyüme Oranları, </w:t>
            </w:r>
            <w:r w:rsidR="00685E8C">
              <w:rPr>
                <w:b/>
              </w:rPr>
              <w:t>Haziran</w:t>
            </w:r>
            <w:r w:rsidR="00ED46EA">
              <w:rPr>
                <w:b/>
              </w:rPr>
              <w:t xml:space="preserve"> 2017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Aya Göre</w:t>
            </w:r>
            <w:r w:rsidR="008A575D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Yıla Göre</w:t>
            </w:r>
            <w:r w:rsidR="008A575D" w:rsidRPr="004D5C8C">
              <w:t xml:space="preserve"> (%)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r w:rsidRPr="004D5C8C">
              <w:t>Madencilik ve Taşocakçılığı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D42512" w:rsidP="00D42512">
            <w:pPr>
              <w:jc w:val="center"/>
            </w:pPr>
            <w:r>
              <w:t>1,2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D42512" w:rsidP="00D42512">
            <w:pPr>
              <w:jc w:val="center"/>
            </w:pPr>
            <w:r>
              <w:t>-0,5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İmalat Sanayi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D42512" w:rsidP="00D42512">
            <w:pPr>
              <w:jc w:val="center"/>
            </w:pPr>
            <w:r>
              <w:t>-0,5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D42512" w:rsidP="00D42512">
            <w:pPr>
              <w:jc w:val="center"/>
            </w:pPr>
            <w:r>
              <w:t>3,8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Elektrik, Gaz, Buhar ve İklimlendirme Üretimi ve Dağıtımı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D42512" w:rsidP="00D42512">
            <w:pPr>
              <w:jc w:val="center"/>
            </w:pPr>
            <w:r>
              <w:t>-0,6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D42512" w:rsidP="00D42512">
            <w:pPr>
              <w:jc w:val="center"/>
            </w:pPr>
            <w:r>
              <w:t>2,5</w:t>
            </w:r>
          </w:p>
        </w:tc>
      </w:tr>
      <w:tr w:rsidR="00160C8F" w:rsidRPr="00160C8F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316F1D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D42512" w:rsidP="00D42512">
            <w:pPr>
              <w:jc w:val="center"/>
              <w:rPr>
                <w:b/>
              </w:rPr>
            </w:pPr>
            <w:r>
              <w:rPr>
                <w:b/>
              </w:rPr>
              <w:t>-0,4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24CC0" w:rsidRDefault="00D42512" w:rsidP="00D42512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</w:tr>
    </w:tbl>
    <w:p w:rsidR="00160C8F" w:rsidRDefault="00160C8F" w:rsidP="00FE2D1A">
      <w:pPr>
        <w:jc w:val="both"/>
      </w:pPr>
    </w:p>
    <w:sectPr w:rsidR="00160C8F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4E" w:rsidRDefault="00317C4E" w:rsidP="00C04441">
      <w:pPr>
        <w:spacing w:after="0" w:line="240" w:lineRule="auto"/>
      </w:pPr>
      <w:r>
        <w:separator/>
      </w:r>
    </w:p>
  </w:endnote>
  <w:endnote w:type="continuationSeparator" w:id="0">
    <w:p w:rsidR="00317C4E" w:rsidRDefault="00317C4E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4E" w:rsidRDefault="00317C4E" w:rsidP="00C04441">
      <w:pPr>
        <w:spacing w:after="0" w:line="240" w:lineRule="auto"/>
      </w:pPr>
      <w:r>
        <w:separator/>
      </w:r>
    </w:p>
  </w:footnote>
  <w:footnote w:type="continuationSeparator" w:id="0">
    <w:p w:rsidR="00317C4E" w:rsidRDefault="00317C4E" w:rsidP="00C04441">
      <w:pPr>
        <w:spacing w:after="0" w:line="240" w:lineRule="auto"/>
      </w:pPr>
      <w:r>
        <w:continuationSeparator/>
      </w:r>
    </w:p>
  </w:footnote>
  <w:footnote w:id="1">
    <w:p w:rsidR="00522A6C" w:rsidRDefault="00522A6C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arındırılmış veriler kullanılmaktadır</w:t>
      </w:r>
      <w:r w:rsidR="0046068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3703C"/>
    <w:rsid w:val="00062D7C"/>
    <w:rsid w:val="000701FD"/>
    <w:rsid w:val="00070A53"/>
    <w:rsid w:val="000B7EA9"/>
    <w:rsid w:val="000D18BE"/>
    <w:rsid w:val="00112C0F"/>
    <w:rsid w:val="001243A0"/>
    <w:rsid w:val="00135340"/>
    <w:rsid w:val="00160C8F"/>
    <w:rsid w:val="001E11A2"/>
    <w:rsid w:val="001E5A63"/>
    <w:rsid w:val="001F7633"/>
    <w:rsid w:val="00233BD5"/>
    <w:rsid w:val="0028186A"/>
    <w:rsid w:val="002B2CC6"/>
    <w:rsid w:val="002B53E4"/>
    <w:rsid w:val="002D3E19"/>
    <w:rsid w:val="00317C4E"/>
    <w:rsid w:val="00350144"/>
    <w:rsid w:val="00351561"/>
    <w:rsid w:val="00354CE2"/>
    <w:rsid w:val="00357954"/>
    <w:rsid w:val="003641B3"/>
    <w:rsid w:val="003733E7"/>
    <w:rsid w:val="003A5037"/>
    <w:rsid w:val="003A57CB"/>
    <w:rsid w:val="003F2715"/>
    <w:rsid w:val="00407EC9"/>
    <w:rsid w:val="00424CC0"/>
    <w:rsid w:val="00432DF5"/>
    <w:rsid w:val="0043515F"/>
    <w:rsid w:val="00460688"/>
    <w:rsid w:val="004641F9"/>
    <w:rsid w:val="004D5C8C"/>
    <w:rsid w:val="00517288"/>
    <w:rsid w:val="00521423"/>
    <w:rsid w:val="00522A6C"/>
    <w:rsid w:val="005405F5"/>
    <w:rsid w:val="00544D61"/>
    <w:rsid w:val="00574C38"/>
    <w:rsid w:val="005758F2"/>
    <w:rsid w:val="005C53F8"/>
    <w:rsid w:val="006020BD"/>
    <w:rsid w:val="00677B0D"/>
    <w:rsid w:val="00685E8C"/>
    <w:rsid w:val="006D41B5"/>
    <w:rsid w:val="006E77D7"/>
    <w:rsid w:val="0070186C"/>
    <w:rsid w:val="00731B2B"/>
    <w:rsid w:val="007330A1"/>
    <w:rsid w:val="00736EAB"/>
    <w:rsid w:val="007441EB"/>
    <w:rsid w:val="00756492"/>
    <w:rsid w:val="007700BF"/>
    <w:rsid w:val="007736BE"/>
    <w:rsid w:val="007A6AB2"/>
    <w:rsid w:val="007B58E6"/>
    <w:rsid w:val="007E6746"/>
    <w:rsid w:val="00802F1A"/>
    <w:rsid w:val="008A575D"/>
    <w:rsid w:val="008C2C15"/>
    <w:rsid w:val="008C7F9E"/>
    <w:rsid w:val="008D1077"/>
    <w:rsid w:val="00907E0D"/>
    <w:rsid w:val="00923FD3"/>
    <w:rsid w:val="0092656D"/>
    <w:rsid w:val="00935B34"/>
    <w:rsid w:val="009A6E86"/>
    <w:rsid w:val="009D3086"/>
    <w:rsid w:val="009E756B"/>
    <w:rsid w:val="009F0A83"/>
    <w:rsid w:val="009F54F1"/>
    <w:rsid w:val="00A705F6"/>
    <w:rsid w:val="00A722F2"/>
    <w:rsid w:val="00A77365"/>
    <w:rsid w:val="00AD2065"/>
    <w:rsid w:val="00B2786A"/>
    <w:rsid w:val="00B84FE9"/>
    <w:rsid w:val="00B86368"/>
    <w:rsid w:val="00B94EA9"/>
    <w:rsid w:val="00BC294E"/>
    <w:rsid w:val="00BC5F10"/>
    <w:rsid w:val="00C04441"/>
    <w:rsid w:val="00C144CC"/>
    <w:rsid w:val="00C21D8B"/>
    <w:rsid w:val="00C97AFA"/>
    <w:rsid w:val="00CC7D5F"/>
    <w:rsid w:val="00CF56CB"/>
    <w:rsid w:val="00D21190"/>
    <w:rsid w:val="00D2299D"/>
    <w:rsid w:val="00D23355"/>
    <w:rsid w:val="00D26126"/>
    <w:rsid w:val="00D42512"/>
    <w:rsid w:val="00D60CCE"/>
    <w:rsid w:val="00D72BD4"/>
    <w:rsid w:val="00DB1389"/>
    <w:rsid w:val="00DB1F8E"/>
    <w:rsid w:val="00DC5FDC"/>
    <w:rsid w:val="00DE7934"/>
    <w:rsid w:val="00E46DD4"/>
    <w:rsid w:val="00EC4AA2"/>
    <w:rsid w:val="00ED4544"/>
    <w:rsid w:val="00ED46EA"/>
    <w:rsid w:val="00EE5ABD"/>
    <w:rsid w:val="00EF4E45"/>
    <w:rsid w:val="00EF621F"/>
    <w:rsid w:val="00F061D6"/>
    <w:rsid w:val="00FD0F6A"/>
    <w:rsid w:val="00FE2D1A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S&#220;E_Haziran%20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S&#220;E_Haziran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'mevsim ve takvim'!$A$2</c:f>
              <c:strCache>
                <c:ptCount val="1"/>
                <c:pt idx="0">
                  <c:v>2016</c:v>
                </c:pt>
              </c:strCache>
            </c:strRef>
          </c:tx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takvim'!$B$2:$M$2</c:f>
              <c:numCache>
                <c:formatCode>0.0</c:formatCode>
                <c:ptCount val="12"/>
                <c:pt idx="0">
                  <c:v>126.90634280476215</c:v>
                </c:pt>
                <c:pt idx="1">
                  <c:v>128.30157826648215</c:v>
                </c:pt>
                <c:pt idx="2">
                  <c:v>127.56544973574348</c:v>
                </c:pt>
                <c:pt idx="3">
                  <c:v>125.47953440712634</c:v>
                </c:pt>
                <c:pt idx="4">
                  <c:v>127.45377441248262</c:v>
                </c:pt>
                <c:pt idx="5">
                  <c:v>126.61332797576816</c:v>
                </c:pt>
                <c:pt idx="6">
                  <c:v>117.93862697793604</c:v>
                </c:pt>
                <c:pt idx="7">
                  <c:v>128.04929122683069</c:v>
                </c:pt>
                <c:pt idx="8">
                  <c:v>123.42225708668208</c:v>
                </c:pt>
                <c:pt idx="9">
                  <c:v>128.32407830341023</c:v>
                </c:pt>
                <c:pt idx="10">
                  <c:v>128.18937425852798</c:v>
                </c:pt>
                <c:pt idx="11">
                  <c:v>128.25036645384503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'mevsim ve takvim'!$A$3</c:f>
              <c:strCache>
                <c:ptCount val="1"/>
                <c:pt idx="0">
                  <c:v>2017</c:v>
                </c:pt>
              </c:strCache>
            </c:strRef>
          </c:tx>
          <c:marker>
            <c:symbol val="none"/>
          </c:marker>
          <c:dLbls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873221216041367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takvim'!$B$3:$M$3</c:f>
              <c:numCache>
                <c:formatCode>0.0</c:formatCode>
                <c:ptCount val="12"/>
                <c:pt idx="0">
                  <c:v>129.71614457718081</c:v>
                </c:pt>
                <c:pt idx="1">
                  <c:v>129.32248445364462</c:v>
                </c:pt>
                <c:pt idx="2">
                  <c:v>130.79035711523213</c:v>
                </c:pt>
                <c:pt idx="3">
                  <c:v>133.6599940826228</c:v>
                </c:pt>
                <c:pt idx="4">
                  <c:v>131.77520370774732</c:v>
                </c:pt>
                <c:pt idx="5">
                  <c:v>131.19318746796472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752960"/>
        <c:axId val="185775616"/>
      </c:lineChart>
      <c:catAx>
        <c:axId val="185752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85775616"/>
        <c:crosses val="autoZero"/>
        <c:auto val="1"/>
        <c:lblAlgn val="ctr"/>
        <c:lblOffset val="100"/>
        <c:noMultiLvlLbl val="0"/>
      </c:catAx>
      <c:valAx>
        <c:axId val="185775616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185752960"/>
        <c:crosses val="autoZero"/>
        <c:crossBetween val="between"/>
        <c:majorUnit val="5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takvim!$B$9:$E$9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takvim!$B$10:$E$10</c:f>
              <c:numCache>
                <c:formatCode>0.0</c:formatCode>
                <c:ptCount val="4"/>
                <c:pt idx="0">
                  <c:v>121.70874055063304</c:v>
                </c:pt>
                <c:pt idx="1">
                  <c:v>127.3165189760411</c:v>
                </c:pt>
                <c:pt idx="2">
                  <c:v>128.94841188021357</c:v>
                </c:pt>
                <c:pt idx="3">
                  <c:v>133.34329473754991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509376"/>
        <c:axId val="185510912"/>
      </c:lineChart>
      <c:catAx>
        <c:axId val="185509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5510912"/>
        <c:crosses val="autoZero"/>
        <c:auto val="1"/>
        <c:lblAlgn val="ctr"/>
        <c:lblOffset val="100"/>
        <c:noMultiLvlLbl val="0"/>
      </c:catAx>
      <c:valAx>
        <c:axId val="185510912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18550937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3D2A6-E34F-4627-BA7F-F937BE57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AsusN20</cp:lastModifiedBy>
  <cp:revision>7</cp:revision>
  <cp:lastPrinted>2017-08-09T14:25:00Z</cp:lastPrinted>
  <dcterms:created xsi:type="dcterms:W3CDTF">2017-08-09T14:27:00Z</dcterms:created>
  <dcterms:modified xsi:type="dcterms:W3CDTF">2017-08-10T05:24:00Z</dcterms:modified>
</cp:coreProperties>
</file>